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3" w:name="_GoBack"/>
      <w:bookmarkEnd w:id="3"/>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w:t>
            </w:r>
            <w:r>
              <w:rPr>
                <w:rFonts w:hint="eastAsia" w:eastAsia="仿宋"/>
                <w:kern w:val="0"/>
                <w:szCs w:val="21"/>
                <w:lang w:eastAsia="zh-CN"/>
              </w:rPr>
              <w:t>会议</w:t>
            </w:r>
            <w:r>
              <w:rPr>
                <w:rFonts w:hint="eastAsia" w:eastAsia="仿宋"/>
                <w:kern w:val="0"/>
                <w:szCs w:val="21"/>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0F678FA"/>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15</TotalTime>
  <ScaleCrop>false</ScaleCrop>
  <LinksUpToDate>false</LinksUpToDate>
  <CharactersWithSpaces>18778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猪尾巴</cp:lastModifiedBy>
  <cp:lastPrinted>2022-03-02T01:18:00Z</cp:lastPrinted>
  <dcterms:modified xsi:type="dcterms:W3CDTF">2022-04-29T02:28:56Z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B43CED5EFB7D4D299995FE7045CB6B43</vt:lpwstr>
  </property>
</Properties>
</file>